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“党建引领践初心，业务融合促提升”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财通证券</w:t>
      </w:r>
      <w:r>
        <w:rPr>
          <w:rFonts w:hint="eastAsia" w:ascii="宋体" w:hAnsi="宋体" w:eastAsia="宋体" w:cs="宋体"/>
          <w:sz w:val="28"/>
          <w:szCs w:val="28"/>
        </w:rPr>
        <w:t>宁波分公司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与永安期货</w:t>
      </w:r>
      <w:r>
        <w:rPr>
          <w:rFonts w:hint="eastAsia" w:ascii="宋体" w:hAnsi="宋体" w:eastAsia="宋体" w:cs="宋体"/>
          <w:sz w:val="28"/>
          <w:szCs w:val="28"/>
        </w:rPr>
        <w:t>宁波分公司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联合</w:t>
      </w:r>
      <w:r>
        <w:rPr>
          <w:rFonts w:hint="eastAsia" w:ascii="宋体" w:hAnsi="宋体" w:eastAsia="宋体" w:cs="宋体"/>
          <w:sz w:val="28"/>
          <w:szCs w:val="28"/>
        </w:rPr>
        <w:t>举办2023年第四季度策略报告会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为深入学习贯彻党的二十大精神，充分发挥党支部战斗堡垒作用，形成党建业务相融互促的新格局，2</w:t>
      </w:r>
      <w:r>
        <w:rPr>
          <w:rFonts w:hint="eastAsia" w:ascii="宋体" w:hAnsi="宋体" w:eastAsia="宋体" w:cs="宋体"/>
          <w:sz w:val="24"/>
          <w:szCs w:val="24"/>
        </w:rPr>
        <w:t>023年11月11日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财通证券宁波分公司携手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永安期货宁波分公司</w:t>
      </w:r>
      <w:r>
        <w:rPr>
          <w:rFonts w:hint="eastAsia" w:ascii="宋体" w:hAnsi="宋体" w:eastAsia="宋体" w:cs="宋体"/>
          <w:sz w:val="24"/>
          <w:szCs w:val="24"/>
        </w:rPr>
        <w:t>在宁波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香格里拉大酒店</w:t>
      </w:r>
      <w:r>
        <w:rPr>
          <w:rFonts w:hint="eastAsia" w:ascii="宋体" w:hAnsi="宋体" w:eastAsia="宋体" w:cs="宋体"/>
          <w:sz w:val="24"/>
          <w:szCs w:val="24"/>
        </w:rPr>
        <w:t>举办了“2023年第四季度投资策略报告会暨投资者教育活动”，旨在贯彻执行公司“137N”战略体系，推进财富管理转型发展。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本次活动邀请了财通资管固收部高级研究员王若峤、财通资管权益部负责人李晶、财通资管固收公募投资部总经理李杰三位讲师宣讲，并吸引了1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余位高净值客户的参与。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报告会上，王若峤从宏观角度对债券市场进行了深入分析，展望了2024年宏观债券策略，为投资者提供了实质性的配置建议；李晶对2024年科技行业策略进行了展望分析，强调了科技创新和先进制造行业作为未来投资的重要方向；李杰介绍了转债市场，并对相应产品策略进行了深入分析。在会议过程中，宁波分公司融入投资者教育元素，播放投资者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</w:t>
      </w:r>
      <w:r>
        <w:rPr>
          <w:rFonts w:hint="eastAsia" w:ascii="宋体" w:hAnsi="宋体" w:eastAsia="宋体" w:cs="宋体"/>
          <w:sz w:val="24"/>
          <w:szCs w:val="24"/>
        </w:rPr>
        <w:t>，推广北交所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及期货</w:t>
      </w:r>
      <w:r>
        <w:rPr>
          <w:rFonts w:hint="eastAsia" w:ascii="宋体" w:hAnsi="宋体" w:eastAsia="宋体" w:cs="宋体"/>
          <w:sz w:val="24"/>
          <w:szCs w:val="24"/>
        </w:rPr>
        <w:t>相关交易知识，拉近投资者与财通证券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和永安期货</w:t>
      </w:r>
      <w:r>
        <w:rPr>
          <w:rFonts w:hint="eastAsia" w:ascii="宋体" w:hAnsi="宋体" w:eastAsia="宋体" w:cs="宋体"/>
          <w:sz w:val="24"/>
          <w:szCs w:val="24"/>
        </w:rPr>
        <w:t>的契合度并提高投资者金融风险诈骗防范意识。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这次报告会不仅为投资者提供了重要的沟通平台，也使投资者对财通证券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和永安期货</w:t>
      </w:r>
      <w:r>
        <w:rPr>
          <w:rFonts w:hint="eastAsia" w:ascii="宋体" w:hAnsi="宋体" w:eastAsia="宋体" w:cs="宋体"/>
          <w:sz w:val="24"/>
          <w:szCs w:val="24"/>
        </w:rPr>
        <w:t>有了更深入的了解，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投资者们对此次报告会均给予了较高的评价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135" cy="3704590"/>
            <wp:effectExtent l="0" t="0" r="5715" b="10160"/>
            <wp:docPr id="1" name="图片 1" descr="55c1daf2-d761-4c30-aad0-0a17c3a9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c1daf2-d761-4c30-aad0-0a17c3a92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748D8"/>
    <w:rsid w:val="2ECB01D4"/>
    <w:rsid w:val="33AB1177"/>
    <w:rsid w:val="4CE057BB"/>
    <w:rsid w:val="59D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2023-11-20T02:35:00Z</dcterms:created>
  <dc:creator>pc</dc:creator>
  <cp:lastModifiedBy>Intel</cp:lastModifiedBy>
  <cp:lastPrinted>2023-11-20T05:12:00Z</cp:lastPrinted>
  <dcterms:modified xsi:type="dcterms:W3CDTF">2023-11-29T08:14:31Z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1A374B860F6F4811B9F106A48F03CFE4</vt:lpwstr>
  </property>
</Properties>
</file>