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投资者保护在身边，我们在行动</w:t>
      </w:r>
    </w:p>
    <w:p>
      <w:pPr>
        <w:jc w:val="righ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——光大证券浙江分公司3·15投资者保护教育宣传活动</w:t>
      </w:r>
    </w:p>
    <w:p>
      <w:pPr>
        <w:jc w:val="right"/>
        <w:rPr>
          <w:rFonts w:hint="default" w:ascii="仿宋" w:hAnsi="仿宋" w:eastAsia="仿宋" w:cs="仿宋"/>
          <w:b/>
          <w:bCs/>
          <w:sz w:val="28"/>
          <w:szCs w:val="28"/>
          <w:lang w:val="en-US" w:eastAsia="zh-CN"/>
        </w:rPr>
      </w:pPr>
    </w:p>
    <w:p>
      <w:pPr>
        <w:widowControl/>
        <w:shd w:val="clear" w:color="auto" w:fill="FFFFFF"/>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为深入学习贯彻习近平新时代中国特色社会主义思想，全面落实党的二十大精神和中央金融工作会议、中央经济工作会议部署要求，践行以投资者为本的理念，切实做好投资者教育宣传</w:t>
      </w:r>
      <w:r>
        <w:rPr>
          <w:rFonts w:hint="eastAsia" w:ascii="仿宋" w:hAnsi="仿宋" w:eastAsia="仿宋" w:cs="仿宋"/>
          <w:sz w:val="28"/>
          <w:szCs w:val="28"/>
          <w:lang w:val="en-US" w:eastAsia="zh-CN"/>
        </w:rPr>
        <w:t>反洗钱宣传</w:t>
      </w:r>
      <w:bookmarkStart w:id="0" w:name="_GoBack"/>
      <w:bookmarkEnd w:id="0"/>
      <w:r>
        <w:rPr>
          <w:rFonts w:hint="eastAsia" w:ascii="仿宋" w:hAnsi="仿宋" w:eastAsia="仿宋" w:cs="仿宋"/>
          <w:sz w:val="28"/>
          <w:szCs w:val="28"/>
          <w:lang w:eastAsia="zh-CN"/>
        </w:rPr>
        <w:t>工作，</w:t>
      </w:r>
      <w:r>
        <w:rPr>
          <w:rFonts w:hint="eastAsia" w:ascii="仿宋" w:hAnsi="仿宋" w:eastAsia="仿宋" w:cs="仿宋"/>
          <w:sz w:val="28"/>
          <w:szCs w:val="28"/>
          <w:lang w:val="en-US" w:eastAsia="zh-CN"/>
        </w:rPr>
        <w:t>在上级监管部门和公司总部的指导下，浙江分公司及杭州延安路营业部、宁波悦盛路营业部、宁波宝华街营业部、宁波镇海营业部、宁波解放南路营业部、宁波北仑营业部、宁波和义路营业部、宁海营业部于2024年3月14日分别在杭州、宁波</w:t>
      </w:r>
      <w:r>
        <w:rPr>
          <w:rFonts w:hint="eastAsia" w:ascii="仿宋" w:hAnsi="仿宋" w:eastAsia="仿宋" w:cs="仿宋"/>
          <w:sz w:val="28"/>
          <w:szCs w:val="28"/>
          <w:lang w:eastAsia="zh-CN"/>
        </w:rPr>
        <w:t>开展</w:t>
      </w:r>
      <w:r>
        <w:rPr>
          <w:rFonts w:hint="eastAsia" w:ascii="仿宋" w:hAnsi="仿宋" w:eastAsia="仿宋" w:cs="仿宋"/>
          <w:sz w:val="28"/>
          <w:szCs w:val="28"/>
          <w:lang w:val="en-US" w:eastAsia="zh-CN"/>
        </w:rPr>
        <w:t>了3·15投资者保护教育</w:t>
      </w:r>
      <w:r>
        <w:rPr>
          <w:rFonts w:hint="eastAsia" w:ascii="仿宋" w:hAnsi="仿宋" w:eastAsia="仿宋" w:cs="仿宋"/>
          <w:sz w:val="28"/>
          <w:szCs w:val="28"/>
          <w:lang w:eastAsia="zh-CN"/>
        </w:rPr>
        <w:t>集中宣传活动。</w:t>
      </w:r>
    </w:p>
    <w:p>
      <w:pPr>
        <w:widowControl/>
        <w:shd w:val="clear" w:color="auto" w:fill="FFFFFF"/>
        <w:spacing w:line="360" w:lineRule="auto"/>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杭州地区宣传】</w:t>
      </w:r>
    </w:p>
    <w:p>
      <w:pPr>
        <w:widowControl/>
        <w:shd w:val="clear" w:color="auto" w:fill="FFFFFF"/>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3月14日，在光大集团的组织下，浙江分公司、杭州延安路营业部参加了光大集团在浙企业走进小营街道活动的“3·15”金融消费者权益保护教育宣传活动，浙江分公司领导全程参与了宣传活动。</w:t>
      </w:r>
    </w:p>
    <w:p>
      <w:pPr>
        <w:widowControl/>
        <w:shd w:val="clear" w:color="auto" w:fill="FFFFFF"/>
        <w:spacing w:line="360" w:lineRule="auto"/>
        <w:ind w:firstLine="420" w:firstLineChars="200"/>
      </w:pPr>
      <w:r>
        <w:drawing>
          <wp:inline distT="0" distB="0" distL="114300" distR="114300">
            <wp:extent cx="5086350" cy="2651125"/>
            <wp:effectExtent l="0" t="0" r="0"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086350" cy="2651125"/>
                    </a:xfrm>
                    <a:prstGeom prst="rect">
                      <a:avLst/>
                    </a:prstGeom>
                    <a:noFill/>
                    <a:ln>
                      <a:noFill/>
                    </a:ln>
                  </pic:spPr>
                </pic:pic>
              </a:graphicData>
            </a:graphic>
          </wp:inline>
        </w:drawing>
      </w:r>
    </w:p>
    <w:p>
      <w:pPr>
        <w:widowControl/>
        <w:shd w:val="clear" w:color="auto" w:fill="FFFFFF"/>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宣传活动中，通过调查问卷的形式了解群众的各类金融需求，在场员工向参与活动的群众面对面解读股市黑嘴、非法荐股等非法证券活动，同时向广大群众进行了315金融知识宣讲、金融知识普及宣传、反诈宣讲案例分析，并和在场群众进行了金融知识互动问答，场面气氛热烈，提高了参与群众的金融素养和金融安全意识。</w:t>
      </w:r>
    </w:p>
    <w:p>
      <w:pPr>
        <w:widowControl/>
        <w:shd w:val="clear" w:color="auto" w:fill="FFFFFF"/>
        <w:spacing w:line="360" w:lineRule="auto"/>
        <w:ind w:firstLine="420" w:firstLineChars="200"/>
      </w:pPr>
      <w:r>
        <w:drawing>
          <wp:inline distT="0" distB="0" distL="114300" distR="114300">
            <wp:extent cx="4331970" cy="2789555"/>
            <wp:effectExtent l="0" t="0" r="11430"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4331970" cy="2789555"/>
                    </a:xfrm>
                    <a:prstGeom prst="rect">
                      <a:avLst/>
                    </a:prstGeom>
                    <a:noFill/>
                    <a:ln>
                      <a:noFill/>
                    </a:ln>
                  </pic:spPr>
                </pic:pic>
              </a:graphicData>
            </a:graphic>
          </wp:inline>
        </w:drawing>
      </w:r>
    </w:p>
    <w:p>
      <w:pPr>
        <w:widowControl/>
        <w:shd w:val="clear" w:color="auto" w:fill="FFFFFF"/>
        <w:spacing w:line="360" w:lineRule="auto"/>
        <w:ind w:firstLine="420" w:firstLineChars="200"/>
        <w:rPr>
          <w:rFonts w:hint="default"/>
          <w:lang w:val="en-US" w:eastAsia="zh-CN"/>
        </w:rPr>
      </w:pPr>
      <w:r>
        <w:drawing>
          <wp:inline distT="0" distB="0" distL="114300" distR="114300">
            <wp:extent cx="4315460" cy="3333750"/>
            <wp:effectExtent l="0" t="0" r="889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4315460" cy="3333750"/>
                    </a:xfrm>
                    <a:prstGeom prst="rect">
                      <a:avLst/>
                    </a:prstGeom>
                    <a:noFill/>
                    <a:ln>
                      <a:noFill/>
                    </a:ln>
                  </pic:spPr>
                </pic:pic>
              </a:graphicData>
            </a:graphic>
          </wp:inline>
        </w:drawing>
      </w:r>
    </w:p>
    <w:p>
      <w:pPr>
        <w:widowControl/>
        <w:shd w:val="clear" w:color="auto" w:fill="FFFFFF"/>
        <w:spacing w:line="360" w:lineRule="auto"/>
        <w:rPr>
          <w:rFonts w:hint="eastAsia" w:ascii="仿宋" w:hAnsi="仿宋" w:eastAsia="仿宋" w:cs="仿宋"/>
          <w:sz w:val="28"/>
          <w:szCs w:val="28"/>
          <w:lang w:val="en-US" w:eastAsia="zh-CN"/>
        </w:rPr>
      </w:pPr>
    </w:p>
    <w:p>
      <w:pPr>
        <w:widowControl/>
        <w:shd w:val="clear" w:color="auto" w:fill="FFFFFF"/>
        <w:spacing w:line="360" w:lineRule="auto"/>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【宁波地区宣传】</w:t>
      </w:r>
    </w:p>
    <w:p>
      <w:pPr>
        <w:widowControl/>
        <w:shd w:val="clear" w:color="auto" w:fill="FFFFFF"/>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3月14日，浙江分公司联合宁波悦盛路营业部、宁波宝华街营业部、宁波镇海营业部、宁波解放南路营业部、宁波北仑营业部、宁波和义路营业部六家营业部在宁波市滨江商业广场开展了宣传活动。</w:t>
      </w:r>
    </w:p>
    <w:p>
      <w:pPr>
        <w:widowControl/>
        <w:shd w:val="clear" w:color="auto" w:fill="FFFFFF"/>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4707255" cy="2498725"/>
            <wp:effectExtent l="0" t="0" r="17145"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707255" cy="2498725"/>
                    </a:xfrm>
                    <a:prstGeom prst="rect">
                      <a:avLst/>
                    </a:prstGeom>
                    <a:noFill/>
                    <a:ln w="9525">
                      <a:noFill/>
                    </a:ln>
                  </pic:spPr>
                </pic:pic>
              </a:graphicData>
            </a:graphic>
          </wp:inline>
        </w:drawing>
      </w:r>
    </w:p>
    <w:p>
      <w:pPr>
        <w:widowControl/>
        <w:shd w:val="clear" w:color="auto" w:fill="FFFFFF"/>
        <w:spacing w:line="360" w:lineRule="auto"/>
        <w:ind w:firstLine="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营业部通过现场发放调查问卷了解广大群众的需求，并现场解答各类问题，帮助群众更深了解证券基础知识，同时进行了非法证券活动、反洗钱和反恐怖融资知识及其他金融知识的宣传，积极回答在场群众的问题，向群众积极宣传理性投资，推进行业诚信文化建设。</w:t>
      </w:r>
    </w:p>
    <w:p>
      <w:pPr>
        <w:widowControl/>
        <w:shd w:val="clear" w:color="auto" w:fill="FFFFFF"/>
        <w:spacing w:line="360" w:lineRule="auto"/>
        <w:ind w:firstLine="420"/>
        <w:rPr>
          <w:rFonts w:hint="eastAsia" w:ascii="仿宋" w:hAnsi="仿宋" w:eastAsia="宋体" w:cs="仿宋"/>
          <w:sz w:val="28"/>
          <w:szCs w:val="28"/>
          <w:lang w:val="en-US" w:eastAsia="zh-CN"/>
        </w:rPr>
      </w:pPr>
      <w:r>
        <w:rPr>
          <w:rFonts w:ascii="宋体" w:hAnsi="宋体" w:eastAsia="宋体" w:cs="宋体"/>
          <w:sz w:val="24"/>
          <w:szCs w:val="24"/>
        </w:rPr>
        <w:drawing>
          <wp:inline distT="0" distB="0" distL="114300" distR="114300">
            <wp:extent cx="2406015" cy="2218690"/>
            <wp:effectExtent l="0" t="0" r="13335" b="1016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2406015" cy="2218690"/>
                    </a:xfrm>
                    <a:prstGeom prst="rect">
                      <a:avLst/>
                    </a:prstGeom>
                    <a:noFill/>
                    <a:ln w="9525">
                      <a:noFill/>
                    </a:ln>
                  </pic:spPr>
                </pic:pic>
              </a:graphicData>
            </a:graphic>
          </wp:inline>
        </w:drawing>
      </w:r>
      <w:r>
        <w:rPr>
          <w:rFonts w:hint="eastAsia" w:ascii="仿宋" w:hAnsi="仿宋" w:eastAsia="宋体" w:cs="仿宋"/>
          <w:sz w:val="28"/>
          <w:szCs w:val="28"/>
          <w:lang w:val="en-US" w:eastAsia="zh-CN"/>
        </w:rPr>
        <w:drawing>
          <wp:inline distT="0" distB="0" distL="114300" distR="114300">
            <wp:extent cx="2152650" cy="2238375"/>
            <wp:effectExtent l="0" t="0" r="0" b="9525"/>
            <wp:docPr id="3" name="图片 3" descr="171046396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0463961433"/>
                    <pic:cNvPicPr>
                      <a:picLocks noChangeAspect="1"/>
                    </pic:cNvPicPr>
                  </pic:nvPicPr>
                  <pic:blipFill>
                    <a:blip r:embed="rId10"/>
                    <a:stretch>
                      <a:fillRect/>
                    </a:stretch>
                  </pic:blipFill>
                  <pic:spPr>
                    <a:xfrm>
                      <a:off x="0" y="0"/>
                      <a:ext cx="2152650" cy="2238375"/>
                    </a:xfrm>
                    <a:prstGeom prst="rect">
                      <a:avLst/>
                    </a:prstGeom>
                  </pic:spPr>
                </pic:pic>
              </a:graphicData>
            </a:graphic>
          </wp:inline>
        </w:drawing>
      </w:r>
    </w:p>
    <w:p>
      <w:pPr>
        <w:widowControl/>
        <w:shd w:val="clear" w:color="auto" w:fill="FFFFFF"/>
        <w:spacing w:line="360" w:lineRule="auto"/>
        <w:ind w:firstLine="420"/>
        <w:rPr>
          <w:rFonts w:hint="eastAsia" w:ascii="仿宋" w:hAnsi="仿宋" w:eastAsia="宋体" w:cs="仿宋"/>
          <w:sz w:val="28"/>
          <w:szCs w:val="28"/>
          <w:lang w:val="en-US" w:eastAsia="zh-CN"/>
        </w:rPr>
      </w:pPr>
      <w:r>
        <w:rPr>
          <w:rFonts w:hint="eastAsia" w:ascii="仿宋" w:hAnsi="仿宋" w:eastAsia="宋体" w:cs="仿宋"/>
          <w:sz w:val="28"/>
          <w:szCs w:val="28"/>
          <w:lang w:val="en-US" w:eastAsia="zh-CN"/>
        </w:rPr>
        <w:drawing>
          <wp:inline distT="0" distB="0" distL="114300" distR="114300">
            <wp:extent cx="4051300" cy="3920490"/>
            <wp:effectExtent l="0" t="0" r="6350" b="3810"/>
            <wp:docPr id="4" name="图片 4" descr="171046400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0464006887"/>
                    <pic:cNvPicPr>
                      <a:picLocks noChangeAspect="1"/>
                    </pic:cNvPicPr>
                  </pic:nvPicPr>
                  <pic:blipFill>
                    <a:blip r:embed="rId11"/>
                    <a:stretch>
                      <a:fillRect/>
                    </a:stretch>
                  </pic:blipFill>
                  <pic:spPr>
                    <a:xfrm>
                      <a:off x="0" y="0"/>
                      <a:ext cx="4051300" cy="3920490"/>
                    </a:xfrm>
                    <a:prstGeom prst="rect">
                      <a:avLst/>
                    </a:prstGeom>
                  </pic:spPr>
                </pic:pic>
              </a:graphicData>
            </a:graphic>
          </wp:inline>
        </w:drawing>
      </w:r>
    </w:p>
    <w:p>
      <w:pPr>
        <w:widowControl/>
        <w:shd w:val="clear" w:color="auto" w:fill="FFFFFF"/>
        <w:spacing w:line="360" w:lineRule="auto"/>
        <w:ind w:firstLine="420"/>
        <w:rPr>
          <w:rFonts w:hint="eastAsia" w:ascii="仿宋" w:hAnsi="仿宋" w:eastAsia="宋体" w:cs="仿宋"/>
          <w:sz w:val="28"/>
          <w:szCs w:val="28"/>
          <w:lang w:val="en-US" w:eastAsia="zh-CN"/>
        </w:rPr>
      </w:pPr>
    </w:p>
    <w:p>
      <w:pPr>
        <w:widowControl/>
        <w:shd w:val="clear" w:color="auto" w:fill="FFFFFF"/>
        <w:spacing w:line="360" w:lineRule="auto"/>
        <w:ind w:firstLine="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月14日，光大证券宁海气象北路营业部和光大银行宁海支行集团联动，在宁海养老中心开展了3·15投资者保护教育宣传活动，向老人们进行了非法证券活动、反洗钱知识、反假货币及其他金融知识的宣传，积极回答老人们提出来的各类金融问题，一起详细讨论各类案例，加强反洗钱以及防止非法证券的宣传，提升了人民群众对反洗钱以及防止非法证券工作的理解和支持。</w:t>
      </w:r>
    </w:p>
    <w:p>
      <w:pPr>
        <w:widowControl/>
        <w:shd w:val="clear" w:color="auto" w:fill="FFFFFF"/>
        <w:spacing w:line="360" w:lineRule="auto"/>
        <w:ind w:firstLine="420"/>
      </w:pPr>
      <w:r>
        <w:drawing>
          <wp:inline distT="0" distB="0" distL="114300" distR="114300">
            <wp:extent cx="4502785" cy="2148205"/>
            <wp:effectExtent l="0" t="0" r="12065" b="444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4502785" cy="2148205"/>
                    </a:xfrm>
                    <a:prstGeom prst="rect">
                      <a:avLst/>
                    </a:prstGeom>
                    <a:noFill/>
                    <a:ln>
                      <a:noFill/>
                    </a:ln>
                  </pic:spPr>
                </pic:pic>
              </a:graphicData>
            </a:graphic>
          </wp:inline>
        </w:drawing>
      </w:r>
    </w:p>
    <w:p>
      <w:pPr>
        <w:widowControl/>
        <w:shd w:val="clear" w:color="auto" w:fill="FFFFFF"/>
        <w:spacing w:line="360" w:lineRule="auto"/>
        <w:ind w:firstLine="420"/>
      </w:pPr>
      <w:r>
        <w:drawing>
          <wp:inline distT="0" distB="0" distL="114300" distR="114300">
            <wp:extent cx="4525645" cy="2698750"/>
            <wp:effectExtent l="0" t="0" r="8255" b="63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4525645" cy="2698750"/>
                    </a:xfrm>
                    <a:prstGeom prst="rect">
                      <a:avLst/>
                    </a:prstGeom>
                    <a:noFill/>
                    <a:ln>
                      <a:noFill/>
                    </a:ln>
                  </pic:spPr>
                </pic:pic>
              </a:graphicData>
            </a:graphic>
          </wp:inline>
        </w:drawing>
      </w:r>
    </w:p>
    <w:p>
      <w:pPr>
        <w:widowControl/>
        <w:shd w:val="clear" w:color="auto" w:fill="FFFFFF"/>
        <w:spacing w:line="360" w:lineRule="auto"/>
        <w:ind w:firstLine="420"/>
        <w:rPr>
          <w:rFonts w:hint="eastAsia"/>
          <w:lang w:val="en-US" w:eastAsia="zh-CN"/>
        </w:rPr>
      </w:pPr>
      <w:r>
        <w:drawing>
          <wp:inline distT="0" distB="0" distL="114300" distR="114300">
            <wp:extent cx="4533265" cy="2586355"/>
            <wp:effectExtent l="0" t="0" r="635"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4"/>
                    <a:stretch>
                      <a:fillRect/>
                    </a:stretch>
                  </pic:blipFill>
                  <pic:spPr>
                    <a:xfrm>
                      <a:off x="0" y="0"/>
                      <a:ext cx="4533265" cy="2586355"/>
                    </a:xfrm>
                    <a:prstGeom prst="rect">
                      <a:avLst/>
                    </a:prstGeom>
                    <a:noFill/>
                    <a:ln>
                      <a:noFill/>
                    </a:ln>
                  </pic:spPr>
                </pic:pic>
              </a:graphicData>
            </a:graphic>
          </wp:inline>
        </w:drawing>
      </w:r>
    </w:p>
    <w:p>
      <w:pPr>
        <w:widowControl/>
        <w:shd w:val="clear" w:color="auto" w:fill="FFFFFF"/>
        <w:spacing w:line="360" w:lineRule="auto"/>
      </w:pPr>
    </w:p>
    <w:p>
      <w:pPr>
        <w:widowControl/>
        <w:shd w:val="clear" w:color="auto" w:fill="FFFFFF"/>
        <w:spacing w:line="360" w:lineRule="auto"/>
      </w:pPr>
    </w:p>
    <w:p>
      <w:pPr>
        <w:widowControl/>
        <w:shd w:val="clear" w:color="auto" w:fill="FFFFFF"/>
        <w:spacing w:line="360" w:lineRule="auto"/>
      </w:pPr>
    </w:p>
    <w:p>
      <w:pPr>
        <w:widowControl/>
        <w:shd w:val="clear" w:color="auto" w:fill="FFFFFF"/>
        <w:spacing w:line="360" w:lineRule="auto"/>
        <w:rPr>
          <w:rFonts w:hint="eastAsia"/>
          <w:lang w:val="en-US" w:eastAsia="zh-CN"/>
        </w:rPr>
      </w:pPr>
    </w:p>
    <w:p>
      <w:pPr>
        <w:widowControl/>
        <w:shd w:val="clear" w:color="auto" w:fill="FFFFFF"/>
        <w:spacing w:line="36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本次宣传坚持以人民为中心的价值取向，以提升投资者金融素养和金融安全意识、增强依法维权意识和能力为目的，宣导证券期货政策法规，提示投资风险，倡导理性投资理念，提振投资者信心，推进行业诚信文化建设。通过此次宣传活动，让群众深入地了解证券知识，增强了群众的理性投资观念，提高了群众的自我保护意识和自身权益的保障意识。</w:t>
      </w:r>
    </w:p>
    <w:p>
      <w:pPr>
        <w:widowControl/>
        <w:shd w:val="clear" w:color="auto" w:fill="FFFFFF"/>
        <w:spacing w:line="360" w:lineRule="auto"/>
        <w:rPr>
          <w:rFonts w:hint="eastAsia" w:ascii="仿宋" w:hAnsi="仿宋" w:eastAsia="仿宋" w:cs="仿宋"/>
          <w:bCs/>
          <w:sz w:val="28"/>
          <w:szCs w:val="28"/>
          <w:lang w:val="en-US" w:eastAsia="zh-CN"/>
        </w:rPr>
      </w:pPr>
    </w:p>
    <w:p>
      <w:pPr>
        <w:widowControl/>
        <w:shd w:val="clear" w:color="auto" w:fill="FFFFFF"/>
        <w:spacing w:line="360" w:lineRule="auto"/>
        <w:rPr>
          <w:rFonts w:hint="eastAsia" w:ascii="仿宋" w:hAnsi="仿宋" w:eastAsia="仿宋" w:cs="仿宋"/>
          <w:bCs/>
          <w:sz w:val="28"/>
          <w:szCs w:val="28"/>
          <w:lang w:val="en-US" w:eastAsia="zh-CN"/>
        </w:rPr>
      </w:pPr>
    </w:p>
    <w:p>
      <w:pPr>
        <w:widowControl/>
        <w:shd w:val="clear" w:color="auto" w:fill="FFFFFF"/>
        <w:spacing w:line="360" w:lineRule="auto"/>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                                    撰稿部门：浙江分公司</w:t>
      </w:r>
    </w:p>
    <w:p>
      <w:pPr>
        <w:widowControl/>
        <w:shd w:val="clear" w:color="auto" w:fill="FFFFFF"/>
        <w:spacing w:line="360" w:lineRule="auto"/>
        <w:ind w:firstLine="5040" w:firstLineChars="1800"/>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撰稿人：屠晓燕</w:t>
      </w:r>
    </w:p>
    <w:p>
      <w:pPr>
        <w:widowControl/>
        <w:shd w:val="clear" w:color="auto" w:fill="FFFFFF"/>
        <w:spacing w:line="360" w:lineRule="auto"/>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  </w:t>
      </w:r>
    </w:p>
    <w:p>
      <w:pPr>
        <w:widowControl/>
        <w:shd w:val="clear" w:color="auto" w:fill="FFFFFF"/>
        <w:spacing w:line="360" w:lineRule="auto"/>
        <w:ind w:firstLine="560" w:firstLineChars="200"/>
        <w:rPr>
          <w:rFonts w:hint="eastAsia" w:ascii="仿宋" w:hAnsi="仿宋" w:eastAsia="仿宋" w:cs="仿宋"/>
          <w:bCs/>
          <w:sz w:val="28"/>
          <w:szCs w:val="28"/>
          <w:lang w:val="en-US" w:eastAsia="zh-CN"/>
        </w:rPr>
      </w:pPr>
    </w:p>
    <w:p>
      <w:pPr>
        <w:widowControl/>
        <w:shd w:val="clear" w:color="auto" w:fill="FFFFFF"/>
        <w:spacing w:line="360" w:lineRule="auto"/>
        <w:ind w:firstLine="560" w:firstLineChars="200"/>
        <w:rPr>
          <w:rFonts w:hint="eastAsia" w:ascii="仿宋" w:hAnsi="仿宋" w:eastAsia="仿宋" w:cs="仿宋"/>
          <w:bCs/>
          <w:sz w:val="28"/>
          <w:szCs w:val="28"/>
          <w:lang w:val="en-US" w:eastAsia="zh-CN"/>
        </w:rPr>
      </w:pPr>
    </w:p>
    <w:p>
      <w:pPr>
        <w:widowControl/>
        <w:shd w:val="clear" w:color="auto" w:fill="FFFFFF"/>
        <w:spacing w:line="360" w:lineRule="auto"/>
        <w:rPr>
          <w:rFonts w:hint="eastAsia" w:ascii="仿宋" w:hAnsi="仿宋" w:eastAsia="仿宋" w:cs="仿宋"/>
          <w:bCs/>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0ODhjNzEzZTEyYmVmOGNlZGRmZmQwZWQwYTU0NjIifQ=="/>
  </w:docVars>
  <w:rsids>
    <w:rsidRoot w:val="00000000"/>
    <w:rsid w:val="02BD02D4"/>
    <w:rsid w:val="044E048D"/>
    <w:rsid w:val="07964A1C"/>
    <w:rsid w:val="0C554B58"/>
    <w:rsid w:val="0CEB2B50"/>
    <w:rsid w:val="0D4C1C87"/>
    <w:rsid w:val="0E0F1632"/>
    <w:rsid w:val="1196420D"/>
    <w:rsid w:val="11B642AD"/>
    <w:rsid w:val="1601338F"/>
    <w:rsid w:val="18C25DC1"/>
    <w:rsid w:val="1C7D3E82"/>
    <w:rsid w:val="215366D8"/>
    <w:rsid w:val="228B7B4C"/>
    <w:rsid w:val="24052661"/>
    <w:rsid w:val="2AFC049D"/>
    <w:rsid w:val="2BE45A54"/>
    <w:rsid w:val="2DAE4D9C"/>
    <w:rsid w:val="2EF963A4"/>
    <w:rsid w:val="31FD248A"/>
    <w:rsid w:val="320D1338"/>
    <w:rsid w:val="331D46CC"/>
    <w:rsid w:val="360865FC"/>
    <w:rsid w:val="378B61FF"/>
    <w:rsid w:val="41696778"/>
    <w:rsid w:val="438003D7"/>
    <w:rsid w:val="4505711F"/>
    <w:rsid w:val="4BC7641F"/>
    <w:rsid w:val="51DF0946"/>
    <w:rsid w:val="51EE5FBC"/>
    <w:rsid w:val="523A3FB5"/>
    <w:rsid w:val="55BE3A14"/>
    <w:rsid w:val="564560E1"/>
    <w:rsid w:val="5761526A"/>
    <w:rsid w:val="5EAB7BCC"/>
    <w:rsid w:val="5F8F6006"/>
    <w:rsid w:val="616C1E2A"/>
    <w:rsid w:val="62603B80"/>
    <w:rsid w:val="63096697"/>
    <w:rsid w:val="6A2B4D5A"/>
    <w:rsid w:val="6B473041"/>
    <w:rsid w:val="6B9B71D6"/>
    <w:rsid w:val="6C0703C8"/>
    <w:rsid w:val="6C670738"/>
    <w:rsid w:val="6D486AFE"/>
    <w:rsid w:val="6DFA504B"/>
    <w:rsid w:val="6EF52B48"/>
    <w:rsid w:val="704A4D27"/>
    <w:rsid w:val="744F0B5E"/>
    <w:rsid w:val="76946CFC"/>
    <w:rsid w:val="78505E7E"/>
    <w:rsid w:val="788274D1"/>
    <w:rsid w:val="79055C6B"/>
    <w:rsid w:val="794F0342"/>
    <w:rsid w:val="7B31306B"/>
    <w:rsid w:val="7CA659DB"/>
    <w:rsid w:val="7D2876B4"/>
    <w:rsid w:val="7E5C0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637</Words>
  <Characters>646</Characters>
  <Lines>0</Lines>
  <Paragraphs>0</Paragraphs>
  <TotalTime>9</TotalTime>
  <ScaleCrop>false</ScaleCrop>
  <LinksUpToDate>false</LinksUpToDate>
  <CharactersWithSpaces>649</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2023-02-09T09:03:00Z</dcterms:created>
  <dc:creator>Lenovo</dc:creator>
  <cp:lastModifiedBy>陆大菁(￣^￣)ゞ</cp:lastModifiedBy>
  <dcterms:modified xsi:type="dcterms:W3CDTF">2024-03-18T02:53:20Z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A52DF5CF8FAC475691E925E1E88CED30_13</vt:lpwstr>
  </property>
</Properties>
</file>